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FB" w:rsidRPr="00465D99" w:rsidRDefault="00172AFB" w:rsidP="00172AFB">
      <w:pPr>
        <w:jc w:val="both"/>
        <w:rPr>
          <w:b/>
          <w:sz w:val="24"/>
          <w:szCs w:val="24"/>
          <w:lang w:val="lv-LV"/>
        </w:rPr>
      </w:pPr>
      <w:r w:rsidRPr="00465D99">
        <w:rPr>
          <w:b/>
          <w:sz w:val="24"/>
          <w:szCs w:val="24"/>
          <w:lang w:val="lv-LV"/>
        </w:rPr>
        <w:t>Informācija par preču atmuitošanu (IM4 – preču laišana brīvā apgrozībā).</w:t>
      </w:r>
    </w:p>
    <w:p w:rsidR="00172AFB" w:rsidRPr="002A5FE1" w:rsidRDefault="00172AFB" w:rsidP="00172AFB">
      <w:pPr>
        <w:jc w:val="both"/>
        <w:rPr>
          <w:sz w:val="20"/>
          <w:szCs w:val="20"/>
          <w:lang w:val="lv-LV"/>
        </w:rPr>
      </w:pPr>
      <w:r w:rsidRPr="002A5FE1">
        <w:rPr>
          <w:sz w:val="20"/>
          <w:szCs w:val="20"/>
          <w:lang w:val="lv-LV"/>
        </w:rPr>
        <w:t>Labdien,</w:t>
      </w:r>
    </w:p>
    <w:p w:rsidR="00172AFB" w:rsidRDefault="00172AFB" w:rsidP="00172AFB">
      <w:pPr>
        <w:jc w:val="both"/>
        <w:rPr>
          <w:sz w:val="20"/>
          <w:szCs w:val="20"/>
          <w:lang w:val="lv-LV"/>
        </w:rPr>
      </w:pPr>
      <w:r w:rsidRPr="002A5FE1">
        <w:rPr>
          <w:sz w:val="20"/>
          <w:szCs w:val="20"/>
          <w:lang w:val="lv-LV"/>
        </w:rPr>
        <w:t>Ar šo Jūs informējam, ka Jums ir pienācis vai jau tuvojas sūtījums, kuru nepieciešams atmuitot. Tā, kā sūtījumu atmuitošanu veiksim Jūsu dotā pilnvarojumā, mums nepieciešama sekojoša dokumentācija, lai atmuitošanas process noritētu pēc iespējas ātrāk un atbilstoši Latvijas likumdošanas prasībām.</w:t>
      </w:r>
    </w:p>
    <w:p w:rsidR="00172AFB" w:rsidRDefault="00172AFB" w:rsidP="00172AFB">
      <w:pPr>
        <w:jc w:val="both"/>
        <w:rPr>
          <w:sz w:val="20"/>
          <w:szCs w:val="20"/>
          <w:lang w:val="lv-LV"/>
        </w:rPr>
      </w:pPr>
      <w:r w:rsidRPr="002A5FE1">
        <w:rPr>
          <w:sz w:val="20"/>
          <w:szCs w:val="20"/>
          <w:lang w:val="lv-LV"/>
        </w:rPr>
        <w:t>Gadījumā, ja tomēr vēlies, lai atmuitošanu veic kāds cits – painformē mūs laikus.</w:t>
      </w:r>
    </w:p>
    <w:p w:rsidR="00211407" w:rsidRPr="002A5FE1" w:rsidRDefault="00211407" w:rsidP="00172AFB">
      <w:pPr>
        <w:jc w:val="both"/>
        <w:rPr>
          <w:sz w:val="20"/>
          <w:szCs w:val="20"/>
          <w:lang w:val="lv-LV"/>
        </w:rPr>
      </w:pPr>
    </w:p>
    <w:p w:rsidR="002B638E" w:rsidRDefault="00A6415E" w:rsidP="00172AFB">
      <w:pPr>
        <w:jc w:val="both"/>
        <w:rPr>
          <w:sz w:val="20"/>
          <w:szCs w:val="20"/>
          <w:lang w:val="lv-LV"/>
        </w:rPr>
      </w:pPr>
      <w:r w:rsidRPr="002A5FE1">
        <w:rPr>
          <w:b/>
          <w:sz w:val="24"/>
          <w:szCs w:val="24"/>
          <w:lang w:val="lv-LV"/>
        </w:rPr>
        <w:t>EORI</w:t>
      </w:r>
      <w:r w:rsidRPr="002A5FE1">
        <w:rPr>
          <w:sz w:val="24"/>
          <w:szCs w:val="24"/>
          <w:lang w:val="lv-LV"/>
        </w:rPr>
        <w:t>.</w:t>
      </w:r>
      <w:r>
        <w:rPr>
          <w:lang w:val="lv-LV"/>
        </w:rPr>
        <w:t xml:space="preserve"> </w:t>
      </w:r>
      <w:r w:rsidR="002B638E">
        <w:rPr>
          <w:sz w:val="20"/>
          <w:szCs w:val="20"/>
          <w:lang w:val="lv-LV"/>
        </w:rPr>
        <w:t xml:space="preserve">Vai Jums ir </w:t>
      </w:r>
      <w:r w:rsidR="00465D99">
        <w:rPr>
          <w:sz w:val="20"/>
          <w:szCs w:val="20"/>
          <w:lang w:val="lv-LV"/>
        </w:rPr>
        <w:t xml:space="preserve">piešķirts </w:t>
      </w:r>
      <w:r w:rsidR="002B638E">
        <w:rPr>
          <w:sz w:val="20"/>
          <w:szCs w:val="20"/>
          <w:lang w:val="lv-LV"/>
        </w:rPr>
        <w:t>EORI numurs</w:t>
      </w:r>
      <w:r w:rsidR="002A5FE1" w:rsidRPr="002A5FE1">
        <w:rPr>
          <w:sz w:val="20"/>
          <w:szCs w:val="20"/>
          <w:lang w:val="lv-LV"/>
        </w:rPr>
        <w:t xml:space="preserve">? </w:t>
      </w:r>
      <w:r w:rsidR="002B638E">
        <w:rPr>
          <w:sz w:val="20"/>
          <w:szCs w:val="20"/>
          <w:lang w:val="lv-LV"/>
        </w:rPr>
        <w:t>Pārbaudi</w:t>
      </w:r>
      <w:r w:rsidR="00465D99">
        <w:rPr>
          <w:sz w:val="20"/>
          <w:szCs w:val="20"/>
          <w:lang w:val="lv-LV"/>
        </w:rPr>
        <w:t>et</w:t>
      </w:r>
      <w:r w:rsidR="002B638E">
        <w:rPr>
          <w:sz w:val="20"/>
          <w:szCs w:val="20"/>
          <w:lang w:val="lv-LV"/>
        </w:rPr>
        <w:t xml:space="preserve"> to </w:t>
      </w:r>
      <w:r w:rsidR="008165CE">
        <w:fldChar w:fldCharType="begin"/>
      </w:r>
      <w:r w:rsidR="008165CE" w:rsidRPr="00AB7D21">
        <w:rPr>
          <w:lang w:val="lv-LV"/>
        </w:rPr>
        <w:instrText xml:space="preserve"> HYPERLINK "https://ec.europa.eu/taxation_customs/dds2/eos/eori_validation.jsp" </w:instrText>
      </w:r>
      <w:r w:rsidR="008165CE">
        <w:fldChar w:fldCharType="separate"/>
      </w:r>
      <w:r w:rsidR="002B638E" w:rsidRPr="002B638E">
        <w:rPr>
          <w:rStyle w:val="Hyperlink"/>
          <w:sz w:val="20"/>
          <w:szCs w:val="20"/>
          <w:lang w:val="lv-LV"/>
        </w:rPr>
        <w:t>šeit</w:t>
      </w:r>
      <w:r w:rsidR="008165CE">
        <w:rPr>
          <w:rStyle w:val="Hyperlink"/>
          <w:sz w:val="20"/>
          <w:szCs w:val="20"/>
          <w:lang w:val="lv-LV"/>
        </w:rPr>
        <w:fldChar w:fldCharType="end"/>
      </w:r>
      <w:r w:rsidR="00465D99">
        <w:rPr>
          <w:sz w:val="20"/>
          <w:szCs w:val="20"/>
          <w:lang w:val="lv-LV"/>
        </w:rPr>
        <w:t>,</w:t>
      </w:r>
      <w:r w:rsidR="002B638E">
        <w:rPr>
          <w:sz w:val="20"/>
          <w:szCs w:val="20"/>
          <w:lang w:val="lv-LV"/>
        </w:rPr>
        <w:t xml:space="preserve"> </w:t>
      </w:r>
      <w:r w:rsidR="00465D99">
        <w:rPr>
          <w:sz w:val="20"/>
          <w:szCs w:val="20"/>
          <w:lang w:val="lv-LV"/>
        </w:rPr>
        <w:t>j</w:t>
      </w:r>
      <w:r w:rsidRPr="002A5FE1">
        <w:rPr>
          <w:sz w:val="20"/>
          <w:szCs w:val="20"/>
          <w:lang w:val="lv-LV"/>
        </w:rPr>
        <w:t xml:space="preserve">a </w:t>
      </w:r>
      <w:r w:rsidR="00B91539">
        <w:rPr>
          <w:sz w:val="20"/>
          <w:szCs w:val="20"/>
          <w:lang w:val="lv-LV"/>
        </w:rPr>
        <w:t>to neatrod</w:t>
      </w:r>
      <w:r w:rsidR="00465D99">
        <w:rPr>
          <w:sz w:val="20"/>
          <w:szCs w:val="20"/>
          <w:lang w:val="lv-LV"/>
        </w:rPr>
        <w:t>iet</w:t>
      </w:r>
      <w:r w:rsidR="002A5FE1">
        <w:rPr>
          <w:sz w:val="20"/>
          <w:szCs w:val="20"/>
          <w:lang w:val="lv-LV"/>
        </w:rPr>
        <w:t xml:space="preserve">, </w:t>
      </w:r>
      <w:r w:rsidRPr="002A5FE1">
        <w:rPr>
          <w:sz w:val="20"/>
          <w:szCs w:val="20"/>
          <w:lang w:val="lv-LV"/>
        </w:rPr>
        <w:t>tad aizpild</w:t>
      </w:r>
      <w:r w:rsidR="00465D99">
        <w:rPr>
          <w:sz w:val="20"/>
          <w:szCs w:val="20"/>
          <w:lang w:val="lv-LV"/>
        </w:rPr>
        <w:t>iet</w:t>
      </w:r>
      <w:r w:rsidRPr="002A5FE1">
        <w:rPr>
          <w:sz w:val="20"/>
          <w:szCs w:val="20"/>
          <w:lang w:val="lv-LV"/>
        </w:rPr>
        <w:t xml:space="preserve"> </w:t>
      </w:r>
      <w:r w:rsidR="008165CE">
        <w:fldChar w:fldCharType="begin"/>
      </w:r>
      <w:r w:rsidR="008165CE" w:rsidRPr="00AB7D21">
        <w:rPr>
          <w:lang w:val="lv-LV"/>
        </w:rPr>
        <w:instrText xml:space="preserve"> HYPERLINK "https://www.vid.gov.lv/sites/default/files/eori_numura_pieprasijums_2.docx" </w:instrText>
      </w:r>
      <w:r w:rsidR="008165CE">
        <w:fldChar w:fldCharType="separate"/>
      </w:r>
      <w:r w:rsidRPr="002B638E">
        <w:rPr>
          <w:rStyle w:val="Hyperlink"/>
          <w:sz w:val="20"/>
          <w:szCs w:val="20"/>
          <w:lang w:val="lv-LV"/>
        </w:rPr>
        <w:t>iesniegumu formu</w:t>
      </w:r>
      <w:r w:rsidR="008165CE">
        <w:rPr>
          <w:rStyle w:val="Hyperlink"/>
          <w:sz w:val="20"/>
          <w:szCs w:val="20"/>
          <w:lang w:val="lv-LV"/>
        </w:rPr>
        <w:fldChar w:fldCharType="end"/>
      </w:r>
      <w:r w:rsidR="005F10FD">
        <w:rPr>
          <w:sz w:val="20"/>
          <w:szCs w:val="20"/>
          <w:lang w:val="lv-LV"/>
        </w:rPr>
        <w:t xml:space="preserve"> un </w:t>
      </w:r>
      <w:r w:rsidR="008165CE">
        <w:fldChar w:fldCharType="begin"/>
      </w:r>
      <w:r w:rsidR="008165CE" w:rsidRPr="00AB7D21">
        <w:rPr>
          <w:lang w:val="lv-LV"/>
        </w:rPr>
        <w:instrText xml:space="preserve"> HYPERLINK "mailto:EORI@vid.gov.lv;%20MP.lietvediba@vid.gov.lv" </w:instrText>
      </w:r>
      <w:r w:rsidR="008165CE">
        <w:fldChar w:fldCharType="separate"/>
      </w:r>
      <w:r w:rsidR="00B91539" w:rsidRPr="00B91539">
        <w:rPr>
          <w:rStyle w:val="Hyperlink"/>
          <w:sz w:val="20"/>
          <w:szCs w:val="20"/>
          <w:lang w:val="lv-LV"/>
        </w:rPr>
        <w:t>nosūt</w:t>
      </w:r>
      <w:r w:rsidR="00465D99">
        <w:rPr>
          <w:rStyle w:val="Hyperlink"/>
          <w:sz w:val="20"/>
          <w:szCs w:val="20"/>
          <w:lang w:val="lv-LV"/>
        </w:rPr>
        <w:t>ie</w:t>
      </w:r>
      <w:r w:rsidR="00B91539">
        <w:rPr>
          <w:rStyle w:val="Hyperlink"/>
          <w:sz w:val="20"/>
          <w:szCs w:val="20"/>
          <w:lang w:val="lv-LV"/>
        </w:rPr>
        <w:t>t</w:t>
      </w:r>
      <w:r w:rsidR="00B91539" w:rsidRPr="00B91539">
        <w:rPr>
          <w:rStyle w:val="Hyperlink"/>
          <w:sz w:val="20"/>
          <w:szCs w:val="20"/>
          <w:lang w:val="lv-LV"/>
        </w:rPr>
        <w:t xml:space="preserve"> e-pastā</w:t>
      </w:r>
      <w:r w:rsidR="008165CE">
        <w:rPr>
          <w:rStyle w:val="Hyperlink"/>
          <w:sz w:val="20"/>
          <w:szCs w:val="20"/>
          <w:lang w:val="lv-LV"/>
        </w:rPr>
        <w:fldChar w:fldCharType="end"/>
      </w:r>
      <w:r w:rsidR="00B91539">
        <w:rPr>
          <w:sz w:val="20"/>
          <w:szCs w:val="20"/>
          <w:lang w:val="lv-LV"/>
        </w:rPr>
        <w:t xml:space="preserve"> - </w:t>
      </w:r>
      <w:r w:rsidR="005F10FD">
        <w:rPr>
          <w:sz w:val="20"/>
          <w:szCs w:val="20"/>
          <w:lang w:val="lv-LV"/>
        </w:rPr>
        <w:t xml:space="preserve"> tikai atceries, </w:t>
      </w:r>
      <w:r w:rsidR="00B91539" w:rsidRPr="00B91539">
        <w:rPr>
          <w:sz w:val="20"/>
          <w:szCs w:val="20"/>
          <w:lang w:val="lv-LV"/>
        </w:rPr>
        <w:t>šajā gadījumā tikai ar drošu elektronisko</w:t>
      </w:r>
      <w:r w:rsidR="00B91539">
        <w:rPr>
          <w:sz w:val="20"/>
          <w:szCs w:val="20"/>
          <w:lang w:val="lv-LV"/>
        </w:rPr>
        <w:t xml:space="preserve"> parakstu</w:t>
      </w:r>
      <w:r w:rsidR="005F10FD">
        <w:rPr>
          <w:sz w:val="20"/>
          <w:szCs w:val="20"/>
          <w:lang w:val="lv-LV"/>
        </w:rPr>
        <w:t xml:space="preserve">. </w:t>
      </w:r>
    </w:p>
    <w:p w:rsidR="00172AFB" w:rsidRPr="002A5FE1" w:rsidRDefault="00172AFB" w:rsidP="00172AFB">
      <w:pPr>
        <w:jc w:val="both"/>
        <w:rPr>
          <w:sz w:val="20"/>
          <w:szCs w:val="20"/>
          <w:lang w:val="lv-LV"/>
        </w:rPr>
      </w:pPr>
      <w:r w:rsidRPr="002A5FE1">
        <w:rPr>
          <w:b/>
          <w:sz w:val="24"/>
          <w:szCs w:val="24"/>
          <w:lang w:val="lv-LV"/>
        </w:rPr>
        <w:t>Pilnvara.</w:t>
      </w:r>
      <w:r>
        <w:rPr>
          <w:lang w:val="lv-LV"/>
        </w:rPr>
        <w:t xml:space="preserve"> </w:t>
      </w:r>
      <w:r w:rsidRPr="002A5FE1">
        <w:rPr>
          <w:sz w:val="20"/>
          <w:szCs w:val="20"/>
          <w:lang w:val="lv-LV"/>
        </w:rPr>
        <w:t>Lai veiktu pasūtījuma izpildi</w:t>
      </w:r>
      <w:r w:rsidR="00465D99">
        <w:rPr>
          <w:sz w:val="20"/>
          <w:szCs w:val="20"/>
          <w:lang w:val="lv-LV"/>
        </w:rPr>
        <w:t>,</w:t>
      </w:r>
      <w:r w:rsidRPr="002A5FE1">
        <w:rPr>
          <w:sz w:val="20"/>
          <w:szCs w:val="20"/>
          <w:lang w:val="lv-LV"/>
        </w:rPr>
        <w:t xml:space="preserve"> </w:t>
      </w:r>
      <w:r w:rsidR="008165CE">
        <w:fldChar w:fldCharType="begin"/>
      </w:r>
      <w:r w:rsidR="008165CE" w:rsidRPr="00AB7D21">
        <w:rPr>
          <w:lang w:val="lv-LV"/>
        </w:rPr>
        <w:instrText xml:space="preserve"> HYPERLINK "https://lv.kuehne-nagel.com/documents/856140/1443935/services-transportation-customs-power-of-attorney-lv.docx/8b2eae83-6049-72c2-d794-e6251b8f9686?t=1614007647852" </w:instrText>
      </w:r>
      <w:r w:rsidR="008165CE">
        <w:fldChar w:fldCharType="separate"/>
      </w:r>
      <w:r w:rsidRPr="00CC62C4">
        <w:rPr>
          <w:rStyle w:val="Hyperlink"/>
          <w:sz w:val="20"/>
          <w:szCs w:val="20"/>
          <w:lang w:val="lv-LV"/>
        </w:rPr>
        <w:t>Jums jāpilnvaro Kuehne+Nagel SIA veikt preču deklarēšanu tiešā pārstāvībā</w:t>
      </w:r>
      <w:r w:rsidR="008165CE">
        <w:rPr>
          <w:rStyle w:val="Hyperlink"/>
          <w:sz w:val="20"/>
          <w:szCs w:val="20"/>
          <w:lang w:val="lv-LV"/>
        </w:rPr>
        <w:fldChar w:fldCharType="end"/>
      </w:r>
      <w:r w:rsidRPr="002A5FE1">
        <w:rPr>
          <w:sz w:val="20"/>
          <w:szCs w:val="20"/>
          <w:lang w:val="lv-LV"/>
        </w:rPr>
        <w:t>. Ja vēl neesat mūs pilnvarojuši tad pieprasiet pilnvaras paraugu atbildīgam ekspeditoram. Pilnvaras oriģinālam jābūt iesūtītam mums ne vēlāk kā līdz pakalpojuma izpildes beigām.</w:t>
      </w:r>
    </w:p>
    <w:p w:rsidR="00172AFB" w:rsidRPr="002A5FE1" w:rsidRDefault="00172AFB" w:rsidP="00172AFB">
      <w:pPr>
        <w:jc w:val="both"/>
        <w:rPr>
          <w:sz w:val="20"/>
          <w:szCs w:val="20"/>
          <w:lang w:val="lv-LV"/>
        </w:rPr>
      </w:pPr>
      <w:r w:rsidRPr="002A5FE1">
        <w:rPr>
          <w:b/>
          <w:sz w:val="24"/>
          <w:szCs w:val="24"/>
          <w:lang w:val="lv-LV"/>
        </w:rPr>
        <w:t>Darījuma rēķins, rēķins par precēm.</w:t>
      </w:r>
      <w:r>
        <w:rPr>
          <w:lang w:val="lv-LV"/>
        </w:rPr>
        <w:t xml:space="preserve"> </w:t>
      </w:r>
      <w:r w:rsidRPr="002A5FE1">
        <w:rPr>
          <w:sz w:val="20"/>
          <w:szCs w:val="20"/>
          <w:lang w:val="lv-LV"/>
        </w:rPr>
        <w:t xml:space="preserve">Pirms nosūtīt rēķinu pārliecinieties par to atbilstību un pareizību. Rēķinā obligāti jābūt norādītai darījuma būtībai </w:t>
      </w:r>
      <w:r w:rsidRPr="00CC62C4">
        <w:rPr>
          <w:sz w:val="20"/>
          <w:szCs w:val="20"/>
          <w:lang w:val="lv-LV"/>
        </w:rPr>
        <w:t>(</w:t>
      </w:r>
      <w:proofErr w:type="spellStart"/>
      <w:r w:rsidRPr="00CC62C4">
        <w:rPr>
          <w:sz w:val="20"/>
          <w:szCs w:val="20"/>
          <w:lang w:val="lv-LV"/>
        </w:rPr>
        <w:t>Invoice</w:t>
      </w:r>
      <w:proofErr w:type="spellEnd"/>
      <w:r w:rsidRPr="002A5FE1">
        <w:rPr>
          <w:sz w:val="20"/>
          <w:szCs w:val="20"/>
          <w:lang w:val="lv-LV"/>
        </w:rPr>
        <w:t xml:space="preserve"> vai </w:t>
      </w:r>
      <w:r w:rsidRPr="00CC62C4">
        <w:rPr>
          <w:sz w:val="20"/>
          <w:szCs w:val="20"/>
          <w:lang w:val="lv-LV"/>
        </w:rPr>
        <w:t xml:space="preserve">Commercial </w:t>
      </w:r>
      <w:proofErr w:type="spellStart"/>
      <w:r w:rsidRPr="00CC62C4">
        <w:rPr>
          <w:sz w:val="20"/>
          <w:szCs w:val="20"/>
          <w:lang w:val="lv-LV"/>
        </w:rPr>
        <w:t>invoice</w:t>
      </w:r>
      <w:proofErr w:type="spellEnd"/>
      <w:r w:rsidRPr="002A5FE1">
        <w:rPr>
          <w:sz w:val="20"/>
          <w:szCs w:val="20"/>
          <w:lang w:val="lv-LV"/>
        </w:rPr>
        <w:t>), precei kuru Jūs iegādājaties, tās vērtībai, vienību skaitam, svaram, kā arī piegādes nosacījumiem. Deklarēšanas laikā VID MP patur tiesības papildus pieprasīt darījumu apliecinājumu/maksājuma uzdevumu</w:t>
      </w:r>
      <w:r w:rsidR="00E71C16">
        <w:rPr>
          <w:sz w:val="20"/>
          <w:szCs w:val="20"/>
          <w:lang w:val="lv-LV"/>
        </w:rPr>
        <w:t xml:space="preserve"> šim darījumam</w:t>
      </w:r>
      <w:r w:rsidRPr="002A5FE1">
        <w:rPr>
          <w:sz w:val="20"/>
          <w:szCs w:val="20"/>
          <w:lang w:val="lv-LV"/>
        </w:rPr>
        <w:t>. Iesūtot rēķinu, Jūs apstipriniet tā atbilstību.</w:t>
      </w:r>
    </w:p>
    <w:p w:rsidR="00172AFB" w:rsidRPr="002A5FE1" w:rsidRDefault="00172AFB" w:rsidP="00172AFB">
      <w:pPr>
        <w:jc w:val="both"/>
        <w:rPr>
          <w:sz w:val="20"/>
          <w:szCs w:val="20"/>
          <w:lang w:val="lv-LV"/>
        </w:rPr>
      </w:pPr>
      <w:r w:rsidRPr="002A5FE1">
        <w:rPr>
          <w:b/>
          <w:sz w:val="24"/>
          <w:szCs w:val="24"/>
          <w:lang w:val="lv-LV"/>
        </w:rPr>
        <w:t>Kraušanas lapa “</w:t>
      </w:r>
      <w:proofErr w:type="spellStart"/>
      <w:r w:rsidRPr="00CC62C4">
        <w:rPr>
          <w:b/>
          <w:sz w:val="24"/>
          <w:szCs w:val="24"/>
          <w:lang w:val="lv-LV"/>
        </w:rPr>
        <w:t>Packing</w:t>
      </w:r>
      <w:proofErr w:type="spellEnd"/>
      <w:r w:rsidRPr="00CC62C4">
        <w:rPr>
          <w:b/>
          <w:sz w:val="24"/>
          <w:szCs w:val="24"/>
          <w:lang w:val="lv-LV"/>
        </w:rPr>
        <w:t xml:space="preserve"> </w:t>
      </w:r>
      <w:proofErr w:type="spellStart"/>
      <w:r w:rsidRPr="00CC62C4">
        <w:rPr>
          <w:b/>
          <w:sz w:val="24"/>
          <w:szCs w:val="24"/>
          <w:lang w:val="lv-LV"/>
        </w:rPr>
        <w:t>list</w:t>
      </w:r>
      <w:proofErr w:type="spellEnd"/>
      <w:r w:rsidRPr="002A5FE1">
        <w:rPr>
          <w:b/>
          <w:sz w:val="24"/>
          <w:szCs w:val="24"/>
          <w:lang w:val="lv-LV"/>
        </w:rPr>
        <w:t>”.</w:t>
      </w:r>
      <w:r>
        <w:rPr>
          <w:lang w:val="lv-LV"/>
        </w:rPr>
        <w:t xml:space="preserve"> </w:t>
      </w:r>
      <w:r w:rsidRPr="002A5FE1">
        <w:rPr>
          <w:sz w:val="20"/>
          <w:szCs w:val="20"/>
          <w:lang w:val="lv-LV"/>
        </w:rPr>
        <w:t>Šo dokumentu jāiesūta, ja darījuma rēķinā vai rēķinā par precēm nav norādīta pilnīga informācija – vietu skaits, svars</w:t>
      </w:r>
      <w:r w:rsidR="00E71C16">
        <w:rPr>
          <w:sz w:val="20"/>
          <w:szCs w:val="20"/>
          <w:lang w:val="lv-LV"/>
        </w:rPr>
        <w:t>, piegādes nosacījumi</w:t>
      </w:r>
      <w:r w:rsidRPr="002A5FE1">
        <w:rPr>
          <w:sz w:val="20"/>
          <w:szCs w:val="20"/>
          <w:lang w:val="lv-LV"/>
        </w:rPr>
        <w:t xml:space="preserve"> utt. </w:t>
      </w:r>
    </w:p>
    <w:p w:rsidR="00E71C16" w:rsidRDefault="00172AFB" w:rsidP="00172AFB">
      <w:pPr>
        <w:jc w:val="both"/>
        <w:rPr>
          <w:sz w:val="20"/>
          <w:szCs w:val="20"/>
          <w:lang w:val="lv-LV"/>
        </w:rPr>
      </w:pPr>
      <w:r w:rsidRPr="002A5FE1">
        <w:rPr>
          <w:b/>
          <w:sz w:val="24"/>
          <w:szCs w:val="24"/>
          <w:lang w:val="lv-LV"/>
        </w:rPr>
        <w:t>Preču apraksts.</w:t>
      </w:r>
      <w:r>
        <w:rPr>
          <w:lang w:val="lv-LV"/>
        </w:rPr>
        <w:t xml:space="preserve"> </w:t>
      </w:r>
      <w:r w:rsidRPr="002A5FE1">
        <w:rPr>
          <w:sz w:val="20"/>
          <w:szCs w:val="20"/>
          <w:lang w:val="lv-LV"/>
        </w:rPr>
        <w:t xml:space="preserve">Pasūtītājam jāsniedz pilnīga, skaidra un nepārprotama informācija par preci, kas tiek atmuitota - preces pielietojums, izmantotie materiāli, funkcionalitāte, kā arī jebkura cita papildus informācija, kura </w:t>
      </w:r>
      <w:r w:rsidR="00E71C16">
        <w:rPr>
          <w:sz w:val="20"/>
          <w:szCs w:val="20"/>
          <w:lang w:val="lv-LV"/>
        </w:rPr>
        <w:t xml:space="preserve">sniegs pilnīgu informāciju par preci, lai piemērotu atbilstošu </w:t>
      </w:r>
      <w:hyperlink r:id="rId8" w:history="1">
        <w:r w:rsidR="00E71C16" w:rsidRPr="00E71C16">
          <w:rPr>
            <w:rStyle w:val="Hyperlink"/>
            <w:sz w:val="20"/>
            <w:szCs w:val="20"/>
            <w:lang w:val="lv-LV"/>
          </w:rPr>
          <w:t>muitas k</w:t>
        </w:r>
        <w:r w:rsidRPr="00E71C16">
          <w:rPr>
            <w:rStyle w:val="Hyperlink"/>
            <w:sz w:val="20"/>
            <w:szCs w:val="20"/>
            <w:lang w:val="lv-LV"/>
          </w:rPr>
          <w:t>odu</w:t>
        </w:r>
      </w:hyperlink>
      <w:r w:rsidRPr="002A5FE1">
        <w:rPr>
          <w:sz w:val="20"/>
          <w:szCs w:val="20"/>
          <w:lang w:val="lv-LV"/>
        </w:rPr>
        <w:t>.</w:t>
      </w:r>
      <w:r w:rsidR="00E71C16">
        <w:rPr>
          <w:sz w:val="20"/>
          <w:szCs w:val="20"/>
          <w:lang w:val="lv-LV"/>
        </w:rPr>
        <w:t xml:space="preserve"> Pārbaudi kodu </w:t>
      </w:r>
      <w:r w:rsidR="00E73F81">
        <w:rPr>
          <w:sz w:val="20"/>
          <w:szCs w:val="20"/>
          <w:lang w:val="lv-LV"/>
        </w:rPr>
        <w:t xml:space="preserve">un citu saistošo informāciju </w:t>
      </w:r>
      <w:hyperlink r:id="rId9" w:history="1">
        <w:r w:rsidR="00E71C16" w:rsidRPr="00E71C16">
          <w:rPr>
            <w:rStyle w:val="Hyperlink"/>
            <w:sz w:val="20"/>
            <w:szCs w:val="20"/>
            <w:lang w:val="lv-LV"/>
          </w:rPr>
          <w:t>ITVS</w:t>
        </w:r>
      </w:hyperlink>
      <w:r w:rsidR="00E73F81">
        <w:rPr>
          <w:sz w:val="20"/>
          <w:szCs w:val="20"/>
          <w:lang w:val="lv-LV"/>
        </w:rPr>
        <w:t xml:space="preserve"> (ierobežojumi, atvieglojumi, prasības utt</w:t>
      </w:r>
      <w:r w:rsidR="00465D99">
        <w:rPr>
          <w:sz w:val="20"/>
          <w:szCs w:val="20"/>
          <w:lang w:val="lv-LV"/>
        </w:rPr>
        <w:t>.</w:t>
      </w:r>
      <w:r w:rsidR="00E73F81">
        <w:rPr>
          <w:sz w:val="20"/>
          <w:szCs w:val="20"/>
          <w:lang w:val="lv-LV"/>
        </w:rPr>
        <w:t>)</w:t>
      </w:r>
    </w:p>
    <w:p w:rsidR="00172AFB" w:rsidRPr="002A5FE1" w:rsidRDefault="00096F79" w:rsidP="00172AFB">
      <w:pPr>
        <w:jc w:val="both"/>
        <w:rPr>
          <w:sz w:val="20"/>
          <w:szCs w:val="20"/>
          <w:lang w:val="lv-LV"/>
        </w:rPr>
      </w:pPr>
      <w:r w:rsidRPr="00096F79">
        <w:rPr>
          <w:b/>
          <w:sz w:val="24"/>
          <w:szCs w:val="24"/>
          <w:lang w:val="lv-LV"/>
        </w:rPr>
        <w:t>PVD kontrole.</w:t>
      </w:r>
      <w:r>
        <w:rPr>
          <w:sz w:val="20"/>
          <w:szCs w:val="20"/>
          <w:lang w:val="lv-LV"/>
        </w:rPr>
        <w:t xml:space="preserve"> </w:t>
      </w:r>
      <w:hyperlink r:id="rId10" w:anchor="jump" w:history="1">
        <w:r w:rsidRPr="00760683">
          <w:rPr>
            <w:rStyle w:val="Hyperlink"/>
            <w:sz w:val="20"/>
            <w:szCs w:val="20"/>
            <w:lang w:val="lv-LV"/>
          </w:rPr>
          <w:t>Pārtikas un veterinārais dienests (PVD)</w:t>
        </w:r>
      </w:hyperlink>
      <w:r>
        <w:rPr>
          <w:sz w:val="20"/>
          <w:szCs w:val="20"/>
          <w:lang w:val="lv-LV"/>
        </w:rPr>
        <w:t xml:space="preserve"> pieprasa veikt inspekciju preču iepakojumam, ja tas ir </w:t>
      </w:r>
      <w:r w:rsidR="002F67F8">
        <w:rPr>
          <w:sz w:val="20"/>
          <w:szCs w:val="20"/>
          <w:lang w:val="lv-LV"/>
        </w:rPr>
        <w:t>koka izstrādājums</w:t>
      </w:r>
      <w:r>
        <w:rPr>
          <w:sz w:val="20"/>
          <w:szCs w:val="20"/>
          <w:lang w:val="lv-LV"/>
        </w:rPr>
        <w:t xml:space="preserve"> (koka paletes, koka </w:t>
      </w:r>
      <w:r w:rsidR="002F67F8">
        <w:rPr>
          <w:sz w:val="20"/>
          <w:szCs w:val="20"/>
          <w:lang w:val="lv-LV"/>
        </w:rPr>
        <w:t>borti</w:t>
      </w:r>
      <w:r>
        <w:rPr>
          <w:sz w:val="20"/>
          <w:szCs w:val="20"/>
          <w:lang w:val="lv-LV"/>
        </w:rPr>
        <w:t xml:space="preserve"> vai citas koka konstrukcijas, kas paredzētas preču nostiprināšanai</w:t>
      </w:r>
      <w:r w:rsidR="002F67F8">
        <w:rPr>
          <w:sz w:val="20"/>
          <w:szCs w:val="20"/>
          <w:lang w:val="lv-LV"/>
        </w:rPr>
        <w:t xml:space="preserve"> preču transportēšanas laikā</w:t>
      </w:r>
      <w:r>
        <w:rPr>
          <w:sz w:val="20"/>
          <w:szCs w:val="20"/>
          <w:lang w:val="lv-LV"/>
        </w:rPr>
        <w:t xml:space="preserve">). </w:t>
      </w:r>
      <w:r w:rsidR="00760683">
        <w:rPr>
          <w:sz w:val="20"/>
          <w:szCs w:val="20"/>
          <w:lang w:val="lv-LV"/>
        </w:rPr>
        <w:t>Pārbaude ir maksas pakalpojums atbilstoši aktuālam izcenojumam.</w:t>
      </w:r>
    </w:p>
    <w:p w:rsidR="00172AFB" w:rsidRPr="00F55B81" w:rsidRDefault="00F55B81" w:rsidP="00172AFB">
      <w:pPr>
        <w:jc w:val="both"/>
        <w:rPr>
          <w:sz w:val="20"/>
          <w:szCs w:val="20"/>
          <w:lang w:val="lv-LV"/>
        </w:rPr>
      </w:pPr>
      <w:r w:rsidRPr="00F55B81">
        <w:rPr>
          <w:b/>
          <w:sz w:val="24"/>
          <w:szCs w:val="24"/>
          <w:lang w:val="lv-LV"/>
        </w:rPr>
        <w:t>Nodokļu apmaksa.</w:t>
      </w:r>
      <w:r>
        <w:rPr>
          <w:sz w:val="16"/>
          <w:szCs w:val="16"/>
          <w:lang w:val="lv-LV"/>
        </w:rPr>
        <w:t xml:space="preserve"> </w:t>
      </w:r>
      <w:r>
        <w:rPr>
          <w:sz w:val="20"/>
          <w:szCs w:val="20"/>
          <w:lang w:val="lv-LV"/>
        </w:rPr>
        <w:t>Standarta n</w:t>
      </w:r>
      <w:r w:rsidRPr="00F55B81">
        <w:rPr>
          <w:sz w:val="20"/>
          <w:szCs w:val="20"/>
          <w:lang w:val="lv-LV"/>
        </w:rPr>
        <w:t xml:space="preserve">odokļu apmaksa kārtība paredz </w:t>
      </w:r>
      <w:r w:rsidR="00451CFF">
        <w:rPr>
          <w:sz w:val="20"/>
          <w:szCs w:val="20"/>
          <w:lang w:val="lv-LV"/>
        </w:rPr>
        <w:t xml:space="preserve">aprēķināto </w:t>
      </w:r>
      <w:r>
        <w:rPr>
          <w:sz w:val="20"/>
          <w:szCs w:val="20"/>
          <w:lang w:val="lv-LV"/>
        </w:rPr>
        <w:t xml:space="preserve">nodokļu priekšlaicīgu iemaksu Valsts Kasē, vai nodokļu apmaksu deklarēšanas laikā izmantojot </w:t>
      </w:r>
      <w:hyperlink r:id="rId11" w:history="1">
        <w:r w:rsidRPr="001A4A75">
          <w:rPr>
            <w:rStyle w:val="Hyperlink"/>
            <w:sz w:val="20"/>
            <w:szCs w:val="20"/>
            <w:lang w:val="lv-LV"/>
          </w:rPr>
          <w:t>www.latvija.lv</w:t>
        </w:r>
      </w:hyperlink>
      <w:r>
        <w:rPr>
          <w:sz w:val="20"/>
          <w:szCs w:val="20"/>
          <w:lang w:val="lv-LV"/>
        </w:rPr>
        <w:t xml:space="preserve">. Informējiet mūs ja izmantosiet </w:t>
      </w:r>
      <w:hyperlink r:id="rId12" w:history="1">
        <w:r w:rsidRPr="001A4A75">
          <w:rPr>
            <w:rStyle w:val="Hyperlink"/>
            <w:sz w:val="20"/>
            <w:szCs w:val="20"/>
            <w:lang w:val="lv-LV"/>
          </w:rPr>
          <w:t>www.latvija.lv</w:t>
        </w:r>
      </w:hyperlink>
      <w:r>
        <w:rPr>
          <w:sz w:val="20"/>
          <w:szCs w:val="20"/>
          <w:lang w:val="lv-LV"/>
        </w:rPr>
        <w:t xml:space="preserve">, lai deklarētājs </w:t>
      </w:r>
      <w:r w:rsidR="00451CFF">
        <w:rPr>
          <w:sz w:val="20"/>
          <w:szCs w:val="20"/>
          <w:lang w:val="lv-LV"/>
        </w:rPr>
        <w:t xml:space="preserve">aktivizē maksājumu saņemšanu </w:t>
      </w:r>
      <w:r w:rsidR="00465D99">
        <w:rPr>
          <w:sz w:val="20"/>
          <w:szCs w:val="20"/>
          <w:lang w:val="lv-LV"/>
        </w:rPr>
        <w:t xml:space="preserve">ar </w:t>
      </w:r>
      <w:r w:rsidR="00451CFF">
        <w:rPr>
          <w:sz w:val="20"/>
          <w:szCs w:val="20"/>
          <w:lang w:val="lv-LV"/>
        </w:rPr>
        <w:t>“gaida maksājumu”</w:t>
      </w:r>
      <w:r w:rsidR="00465D99">
        <w:rPr>
          <w:sz w:val="20"/>
          <w:szCs w:val="20"/>
          <w:lang w:val="lv-LV"/>
        </w:rPr>
        <w:t xml:space="preserve"> funkciju</w:t>
      </w:r>
      <w:r w:rsidR="00760683">
        <w:rPr>
          <w:sz w:val="20"/>
          <w:szCs w:val="20"/>
          <w:lang w:val="lv-LV"/>
        </w:rPr>
        <w:t>.</w:t>
      </w:r>
    </w:p>
    <w:p w:rsidR="00760683" w:rsidRDefault="00760683" w:rsidP="00172AFB">
      <w:pPr>
        <w:jc w:val="both"/>
        <w:rPr>
          <w:sz w:val="16"/>
          <w:szCs w:val="16"/>
          <w:lang w:val="lv-LV"/>
        </w:rPr>
      </w:pPr>
    </w:p>
    <w:p w:rsidR="00172AFB" w:rsidRPr="00211407" w:rsidRDefault="00AB6CEE" w:rsidP="00172AFB">
      <w:pPr>
        <w:jc w:val="both"/>
        <w:rPr>
          <w:sz w:val="20"/>
          <w:szCs w:val="20"/>
          <w:lang w:val="lv-LV"/>
        </w:rPr>
      </w:pPr>
      <w:r w:rsidRPr="00211407">
        <w:rPr>
          <w:sz w:val="20"/>
          <w:szCs w:val="20"/>
          <w:lang w:val="lv-LV"/>
        </w:rPr>
        <w:t xml:space="preserve">Papildus </w:t>
      </w:r>
      <w:r w:rsidR="00172AFB" w:rsidRPr="00211407">
        <w:rPr>
          <w:sz w:val="20"/>
          <w:szCs w:val="20"/>
          <w:lang w:val="lv-LV"/>
        </w:rPr>
        <w:t>Jūsu zināšanai:</w:t>
      </w:r>
    </w:p>
    <w:p w:rsidR="00DB79FB" w:rsidRPr="007A77AD" w:rsidRDefault="00AB6CEE" w:rsidP="00DB79FB">
      <w:pPr>
        <w:jc w:val="both"/>
        <w:rPr>
          <w:sz w:val="20"/>
          <w:szCs w:val="20"/>
          <w:lang w:val="lv-LV"/>
        </w:rPr>
      </w:pPr>
      <w:r w:rsidRPr="00211407">
        <w:rPr>
          <w:sz w:val="20"/>
          <w:szCs w:val="20"/>
          <w:lang w:val="lv-LV"/>
        </w:rPr>
        <w:t xml:space="preserve">Tā, kā visas augstāk noteiktās prasības reglamentētas Latvijas likumdošanā un saistošajos MK noteikumos, </w:t>
      </w:r>
      <w:r w:rsidRPr="007A77AD">
        <w:rPr>
          <w:sz w:val="20"/>
          <w:szCs w:val="20"/>
          <w:lang w:val="lv-LV"/>
        </w:rPr>
        <w:t>lūdzam tās ievērot obligātā kārtā.</w:t>
      </w:r>
      <w:r w:rsidR="00DB79FB" w:rsidRPr="007A77AD">
        <w:rPr>
          <w:sz w:val="20"/>
          <w:szCs w:val="20"/>
          <w:lang w:val="lv-LV"/>
        </w:rPr>
        <w:t xml:space="preserve"> </w:t>
      </w:r>
    </w:p>
    <w:p w:rsidR="00172AFB" w:rsidRPr="007A77AD" w:rsidRDefault="00DB79FB" w:rsidP="00172AFB">
      <w:pPr>
        <w:jc w:val="both"/>
        <w:rPr>
          <w:sz w:val="20"/>
          <w:szCs w:val="20"/>
          <w:lang w:val="lv-LV"/>
        </w:rPr>
      </w:pPr>
      <w:r w:rsidRPr="007A77AD">
        <w:rPr>
          <w:sz w:val="20"/>
          <w:szCs w:val="20"/>
          <w:lang w:val="lv-LV"/>
        </w:rPr>
        <w:t xml:space="preserve">Klienta atbildība ir sagatavot visu nepieciešamo dokumentāciju, lai preču atmuitošana tiktu veikta apbilstoši. Tā, kā preču atmuitošana tiek veikta brīdī, kad prece fiziski atrodas Latvijas robežās </w:t>
      </w:r>
      <w:r w:rsidR="00AB55A1" w:rsidRPr="007A77AD">
        <w:rPr>
          <w:sz w:val="20"/>
          <w:szCs w:val="20"/>
          <w:lang w:val="lv-LV"/>
        </w:rPr>
        <w:t xml:space="preserve">(atļaujā iekļautos Muitas kontroles punktos MKP) </w:t>
      </w:r>
      <w:r w:rsidRPr="007A77AD">
        <w:rPr>
          <w:sz w:val="20"/>
          <w:szCs w:val="20"/>
          <w:lang w:val="lv-LV"/>
        </w:rPr>
        <w:t>un ir pieejama visa nepieciešamā dokumentācija un klients ir devis uzdevumu, jebkura papildus pieprasītā informācija paildzina atmuitošanas procesu,  tādēļ n</w:t>
      </w:r>
      <w:r w:rsidR="00172AFB" w:rsidRPr="007A77AD">
        <w:rPr>
          <w:sz w:val="20"/>
          <w:szCs w:val="20"/>
          <w:lang w:val="lv-LV"/>
        </w:rPr>
        <w:t>eatliec informācijas apkopošanu un nodošanu izpildei uz pēdējo brīdi. Tas samazinās stresu un haotisku dokumentu meklēšanu brīdī, kad krava būs klāt.</w:t>
      </w:r>
    </w:p>
    <w:p w:rsidR="00172AFB" w:rsidRPr="00211407" w:rsidRDefault="00172AFB" w:rsidP="00172AFB">
      <w:pPr>
        <w:jc w:val="both"/>
        <w:rPr>
          <w:sz w:val="20"/>
          <w:szCs w:val="20"/>
          <w:lang w:val="lv-LV"/>
        </w:rPr>
      </w:pPr>
      <w:r w:rsidRPr="00211407">
        <w:rPr>
          <w:sz w:val="20"/>
          <w:szCs w:val="20"/>
          <w:lang w:val="lv-LV"/>
        </w:rPr>
        <w:lastRenderedPageBreak/>
        <w:t xml:space="preserve">Muitas formalitāšu izpildes termiņus mēs nevaram fiksēt, tā kā ir iesaistītas trīs izpildes puses (pasūtītājs, </w:t>
      </w:r>
      <w:r w:rsidR="00AB6CEE" w:rsidRPr="00211407">
        <w:rPr>
          <w:sz w:val="20"/>
          <w:szCs w:val="20"/>
          <w:lang w:val="lv-LV"/>
        </w:rPr>
        <w:t>deklarētājs</w:t>
      </w:r>
      <w:r w:rsidRPr="00211407">
        <w:rPr>
          <w:sz w:val="20"/>
          <w:szCs w:val="20"/>
          <w:lang w:val="lv-LV"/>
        </w:rPr>
        <w:t xml:space="preserve"> un VID Muitas Pārvalde) un apstrādes laiks ir atkarīgs no informācijas precizit</w:t>
      </w:r>
      <w:r w:rsidR="00DB79FB" w:rsidRPr="00211407">
        <w:rPr>
          <w:sz w:val="20"/>
          <w:szCs w:val="20"/>
          <w:lang w:val="lv-LV"/>
        </w:rPr>
        <w:t>ātes, kura iesniegta apstrādei.</w:t>
      </w:r>
    </w:p>
    <w:p w:rsidR="00211407" w:rsidRPr="007A77AD" w:rsidRDefault="00211407" w:rsidP="00172AFB">
      <w:pPr>
        <w:jc w:val="both"/>
        <w:rPr>
          <w:sz w:val="20"/>
          <w:szCs w:val="20"/>
          <w:lang w:val="lv-LV"/>
        </w:rPr>
      </w:pPr>
      <w:r w:rsidRPr="007A77AD">
        <w:rPr>
          <w:sz w:val="20"/>
          <w:szCs w:val="20"/>
          <w:lang w:val="lv-LV"/>
        </w:rPr>
        <w:t xml:space="preserve">Papildus izdevumus, kuri rodas VID Muitas Pārvaldei nosakot </w:t>
      </w:r>
      <w:r w:rsidR="00AB55A1" w:rsidRPr="007A77AD">
        <w:rPr>
          <w:sz w:val="20"/>
          <w:szCs w:val="20"/>
          <w:lang w:val="lv-LV"/>
        </w:rPr>
        <w:t xml:space="preserve">fiziskās </w:t>
      </w:r>
      <w:r w:rsidRPr="007A77AD">
        <w:rPr>
          <w:sz w:val="20"/>
          <w:szCs w:val="20"/>
          <w:lang w:val="lv-LV"/>
        </w:rPr>
        <w:t>kontroles pasākumus (transportēšana uz pārbaudes vietu, skenera procedūra, fiziskā kontrole - fiziska prešu pārkraušana utt.) pilnībā sedz preču īpašnieks. Kuehne+Nagel SIA nevar ietekmēt VID MP noteiktos kontroles pasākumus</w:t>
      </w:r>
      <w:r w:rsidR="00AB55A1" w:rsidRPr="007A77AD">
        <w:rPr>
          <w:sz w:val="20"/>
          <w:szCs w:val="20"/>
          <w:lang w:val="lv-LV"/>
        </w:rPr>
        <w:t>, tie tiek izpildīti atbilstoši VID MP norādēm.</w:t>
      </w:r>
    </w:p>
    <w:p w:rsidR="00AB55A1" w:rsidRPr="007A77AD" w:rsidRDefault="00AB55A1" w:rsidP="00172AFB">
      <w:pPr>
        <w:jc w:val="both"/>
        <w:rPr>
          <w:sz w:val="20"/>
          <w:szCs w:val="20"/>
          <w:lang w:val="lv-LV"/>
        </w:rPr>
      </w:pPr>
      <w:r w:rsidRPr="007A77AD">
        <w:rPr>
          <w:sz w:val="20"/>
          <w:szCs w:val="20"/>
          <w:lang w:val="lv-LV"/>
        </w:rPr>
        <w:t xml:space="preserve">Ja precei ir noteikti preču sertifikāti vai jebkādi citi apliecinājumi, kurus nosaka </w:t>
      </w:r>
      <w:r w:rsidR="006C27D8" w:rsidRPr="007A77AD">
        <w:rPr>
          <w:sz w:val="20"/>
          <w:szCs w:val="20"/>
          <w:lang w:val="lv-LV"/>
        </w:rPr>
        <w:t>attiecīgās preces pārraugošā valsts iestāde (</w:t>
      </w:r>
      <w:hyperlink r:id="rId13" w:history="1">
        <w:r w:rsidR="006C27D8" w:rsidRPr="00AB7D21">
          <w:rPr>
            <w:rStyle w:val="Hyperlink"/>
            <w:sz w:val="20"/>
            <w:szCs w:val="20"/>
            <w:lang w:val="lv-LV"/>
          </w:rPr>
          <w:t>Patērētāju tiesību aizsardzības c</w:t>
        </w:r>
        <w:r w:rsidR="006C27D8" w:rsidRPr="00AB7D21">
          <w:rPr>
            <w:rStyle w:val="Hyperlink"/>
            <w:sz w:val="20"/>
            <w:szCs w:val="20"/>
            <w:lang w:val="lv-LV"/>
          </w:rPr>
          <w:t>e</w:t>
        </w:r>
        <w:r w:rsidR="006C27D8" w:rsidRPr="00AB7D21">
          <w:rPr>
            <w:rStyle w:val="Hyperlink"/>
            <w:sz w:val="20"/>
            <w:szCs w:val="20"/>
            <w:lang w:val="lv-LV"/>
          </w:rPr>
          <w:t>ntrs PTAC</w:t>
        </w:r>
      </w:hyperlink>
      <w:r w:rsidR="006C27D8" w:rsidRPr="00AB7D21">
        <w:rPr>
          <w:rStyle w:val="Hyperlink"/>
        </w:rPr>
        <w:t>,</w:t>
      </w:r>
      <w:r w:rsidR="006C27D8" w:rsidRPr="007A77AD">
        <w:rPr>
          <w:sz w:val="20"/>
          <w:szCs w:val="20"/>
          <w:lang w:val="lv-LV"/>
        </w:rPr>
        <w:t xml:space="preserve"> </w:t>
      </w:r>
      <w:hyperlink r:id="rId14" w:history="1">
        <w:r w:rsidR="006C27D8" w:rsidRPr="00AB7D21">
          <w:rPr>
            <w:rStyle w:val="Hyperlink"/>
            <w:sz w:val="20"/>
            <w:szCs w:val="20"/>
            <w:lang w:val="lv-LV"/>
          </w:rPr>
          <w:t xml:space="preserve">Aizsardzības </w:t>
        </w:r>
        <w:bookmarkStart w:id="0" w:name="_GoBack"/>
        <w:bookmarkEnd w:id="0"/>
        <w:r w:rsidR="006C27D8" w:rsidRPr="00AB7D21">
          <w:rPr>
            <w:rStyle w:val="Hyperlink"/>
            <w:sz w:val="20"/>
            <w:szCs w:val="20"/>
            <w:lang w:val="lv-LV"/>
          </w:rPr>
          <w:t>m</w:t>
        </w:r>
        <w:r w:rsidR="006C27D8" w:rsidRPr="00AB7D21">
          <w:rPr>
            <w:rStyle w:val="Hyperlink"/>
            <w:sz w:val="20"/>
            <w:szCs w:val="20"/>
            <w:lang w:val="lv-LV"/>
          </w:rPr>
          <w:t>inistrija AM</w:t>
        </w:r>
      </w:hyperlink>
      <w:r w:rsidR="006C27D8" w:rsidRPr="007A77AD">
        <w:rPr>
          <w:sz w:val="20"/>
          <w:szCs w:val="20"/>
          <w:lang w:val="lv-LV"/>
        </w:rPr>
        <w:t>, utt</w:t>
      </w:r>
      <w:r w:rsidR="00300248" w:rsidRPr="007A77AD">
        <w:rPr>
          <w:sz w:val="20"/>
          <w:szCs w:val="20"/>
          <w:lang w:val="lv-LV"/>
        </w:rPr>
        <w:t>.,</w:t>
      </w:r>
      <w:r w:rsidR="006C27D8" w:rsidRPr="007A77AD">
        <w:rPr>
          <w:sz w:val="20"/>
          <w:szCs w:val="20"/>
          <w:lang w:val="lv-LV"/>
        </w:rPr>
        <w:t xml:space="preserve"> </w:t>
      </w:r>
      <w:r w:rsidRPr="007A77AD">
        <w:rPr>
          <w:sz w:val="20"/>
          <w:szCs w:val="20"/>
          <w:lang w:val="lv-LV"/>
        </w:rPr>
        <w:t xml:space="preserve">– klients tos iesniedz pirms tiek uzsākta preču atmuitošana. Šādu apliecinājumu saņemšana, kā arī klientu informēšana par tādu apliecinājumu nepieciešamību tiek konstatēta tikai brīdī, kad atmuitošanas process ir uzsākts. </w:t>
      </w:r>
    </w:p>
    <w:p w:rsidR="00172AFB" w:rsidRPr="00211407" w:rsidRDefault="00172AFB" w:rsidP="00172AFB">
      <w:pPr>
        <w:jc w:val="both"/>
        <w:rPr>
          <w:sz w:val="20"/>
          <w:szCs w:val="20"/>
          <w:lang w:val="lv-LV"/>
        </w:rPr>
      </w:pPr>
      <w:r w:rsidRPr="00211407">
        <w:rPr>
          <w:sz w:val="20"/>
          <w:szCs w:val="20"/>
          <w:lang w:val="lv-LV"/>
        </w:rPr>
        <w:t>Visai komunikācijai jānotiek iesaistot Jūsu atbildīgo ekspeditoru, kurš pārrauga Jūs sūtījumu. Informācijas kopums, kurš tiek nodots citam KN pārstāvim netiks uzskatīts par nodotu, tādēļ pirms sūtiet informāciju pārbaudiet saņēmēju sarakstu.</w:t>
      </w:r>
    </w:p>
    <w:p w:rsidR="009A73CF" w:rsidRPr="00211407" w:rsidRDefault="00172AFB" w:rsidP="00172AFB">
      <w:pPr>
        <w:jc w:val="both"/>
        <w:rPr>
          <w:sz w:val="20"/>
          <w:szCs w:val="20"/>
          <w:lang w:val="lv-LV"/>
        </w:rPr>
      </w:pPr>
      <w:r w:rsidRPr="00211407">
        <w:rPr>
          <w:sz w:val="20"/>
          <w:szCs w:val="20"/>
          <w:lang w:val="lv-LV"/>
        </w:rPr>
        <w:t>Par informācijas patiesumu un precizitāti atbild pasūtītājs, kurš šo faktu apstiprina e-pastā iniciējot pasūtījuma izpildi.</w:t>
      </w:r>
    </w:p>
    <w:p w:rsidR="00F67181" w:rsidRDefault="00F67181" w:rsidP="00172AFB">
      <w:pPr>
        <w:jc w:val="both"/>
        <w:rPr>
          <w:sz w:val="16"/>
          <w:szCs w:val="16"/>
          <w:lang w:val="lv-LV"/>
        </w:rPr>
      </w:pPr>
    </w:p>
    <w:p w:rsidR="00F67181" w:rsidRDefault="00F67181" w:rsidP="00F67181">
      <w:pPr>
        <w:jc w:val="right"/>
        <w:rPr>
          <w:sz w:val="20"/>
          <w:szCs w:val="20"/>
          <w:lang w:val="lv-LV"/>
        </w:rPr>
      </w:pPr>
      <w:r w:rsidRPr="00F67181">
        <w:rPr>
          <w:sz w:val="20"/>
          <w:szCs w:val="20"/>
          <w:lang w:val="lv-LV"/>
        </w:rPr>
        <w:t>Paldies jau iepriekš, Jūsu Kuehne+Nagel</w:t>
      </w:r>
    </w:p>
    <w:sectPr w:rsidR="00F67181" w:rsidSect="009A2FFE">
      <w:headerReference w:type="default" r:id="rId15"/>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CE" w:rsidRDefault="008165CE">
      <w:r>
        <w:separator/>
      </w:r>
    </w:p>
  </w:endnote>
  <w:endnote w:type="continuationSeparator" w:id="0">
    <w:p w:rsidR="008165CE" w:rsidRDefault="0081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CE" w:rsidRDefault="008165CE">
      <w:r>
        <w:separator/>
      </w:r>
    </w:p>
  </w:footnote>
  <w:footnote w:type="continuationSeparator" w:id="0">
    <w:p w:rsidR="008165CE" w:rsidRDefault="0081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49" w:rsidRDefault="00096F79">
    <w:pPr>
      <w:rPr>
        <w:b/>
        <w:bCs/>
        <w:sz w:val="32"/>
        <w:lang w:val="de-DE"/>
      </w:rPr>
    </w:pPr>
    <w:r>
      <w:rPr>
        <w:noProof/>
      </w:rPr>
      <w:drawing>
        <wp:inline distT="0" distB="0" distL="0" distR="0">
          <wp:extent cx="1811655"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577850"/>
                  </a:xfrm>
                  <a:prstGeom prst="rect">
                    <a:avLst/>
                  </a:prstGeom>
                  <a:noFill/>
                  <a:ln>
                    <a:noFill/>
                  </a:ln>
                </pic:spPr>
              </pic:pic>
            </a:graphicData>
          </a:graphic>
        </wp:inline>
      </w:drawing>
    </w:r>
    <w:r w:rsidR="00C00A49">
      <w:rPr>
        <w:lang w:val="de-DE"/>
      </w:rPr>
      <w:tab/>
    </w:r>
    <w:r w:rsidR="00C00A49">
      <w:rPr>
        <w:lang w:val="de-DE"/>
      </w:rPr>
      <w:tab/>
    </w:r>
    <w:r w:rsidR="00C00A49">
      <w:rPr>
        <w:lang w:val="de-DE"/>
      </w:rPr>
      <w:tab/>
    </w:r>
    <w:r w:rsidR="00C00A49">
      <w:rPr>
        <w:lang w:val="de-DE"/>
      </w:rPr>
      <w:tab/>
    </w:r>
    <w:r w:rsidR="00C00A49">
      <w:rPr>
        <w:lang w:val="de-DE"/>
      </w:rPr>
      <w:tab/>
    </w:r>
    <w:r w:rsidR="00C00A49">
      <w:rPr>
        <w:lang w:val="de-DE"/>
      </w:rPr>
      <w:tab/>
    </w:r>
    <w:r w:rsidR="00C00A49">
      <w:rPr>
        <w:lang w:val="de-DE"/>
      </w:rPr>
      <w:tab/>
      <w:t xml:space="preserve">         </w:t>
    </w:r>
    <w:r>
      <w:rPr>
        <w:noProof/>
      </w:rPr>
      <w:drawing>
        <wp:inline distT="0" distB="0" distL="0" distR="0">
          <wp:extent cx="68135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446C6"/>
    <w:multiLevelType w:val="hybridMultilevel"/>
    <w:tmpl w:val="D9C04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31355"/>
    <w:multiLevelType w:val="hybridMultilevel"/>
    <w:tmpl w:val="DAEAF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53A23B00"/>
    <w:multiLevelType w:val="hybridMultilevel"/>
    <w:tmpl w:val="F586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242C3"/>
    <w:multiLevelType w:val="hybridMultilevel"/>
    <w:tmpl w:val="55BEE71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591D6CBD"/>
    <w:multiLevelType w:val="hybridMultilevel"/>
    <w:tmpl w:val="B82AB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653B3"/>
    <w:multiLevelType w:val="hybridMultilevel"/>
    <w:tmpl w:val="81E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75ADD"/>
    <w:multiLevelType w:val="hybridMultilevel"/>
    <w:tmpl w:val="55BEE71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7F483E80"/>
    <w:multiLevelType w:val="hybridMultilevel"/>
    <w:tmpl w:val="57302776"/>
    <w:lvl w:ilvl="0" w:tplc="04260011">
      <w:start w:val="1"/>
      <w:numFmt w:val="decimal"/>
      <w:lvlText w:val="%1)"/>
      <w:lvlJc w:val="left"/>
      <w:pPr>
        <w:tabs>
          <w:tab w:val="num" w:pos="2340"/>
        </w:tabs>
        <w:ind w:left="234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4"/>
  </w:num>
  <w:num w:numId="4">
    <w:abstractNumId w:val="2"/>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FB"/>
    <w:rsid w:val="00002BF5"/>
    <w:rsid w:val="0006790F"/>
    <w:rsid w:val="0009399C"/>
    <w:rsid w:val="00094E50"/>
    <w:rsid w:val="00096F79"/>
    <w:rsid w:val="000A13F5"/>
    <w:rsid w:val="000B75CD"/>
    <w:rsid w:val="000C02AA"/>
    <w:rsid w:val="000D1C31"/>
    <w:rsid w:val="000F7427"/>
    <w:rsid w:val="001156CC"/>
    <w:rsid w:val="001217BA"/>
    <w:rsid w:val="00126411"/>
    <w:rsid w:val="001306A8"/>
    <w:rsid w:val="00131B77"/>
    <w:rsid w:val="00155EE3"/>
    <w:rsid w:val="00162E7F"/>
    <w:rsid w:val="00172AFB"/>
    <w:rsid w:val="0017324F"/>
    <w:rsid w:val="0018059E"/>
    <w:rsid w:val="001A18A8"/>
    <w:rsid w:val="001A5A71"/>
    <w:rsid w:val="001F5E33"/>
    <w:rsid w:val="00210513"/>
    <w:rsid w:val="00211407"/>
    <w:rsid w:val="00214F67"/>
    <w:rsid w:val="00244E93"/>
    <w:rsid w:val="002462C6"/>
    <w:rsid w:val="0024749E"/>
    <w:rsid w:val="00257765"/>
    <w:rsid w:val="002610C7"/>
    <w:rsid w:val="00281001"/>
    <w:rsid w:val="00283020"/>
    <w:rsid w:val="00284946"/>
    <w:rsid w:val="00292B83"/>
    <w:rsid w:val="002A2F72"/>
    <w:rsid w:val="002A5FE1"/>
    <w:rsid w:val="002B638E"/>
    <w:rsid w:val="002C556D"/>
    <w:rsid w:val="002E44B8"/>
    <w:rsid w:val="002F67F8"/>
    <w:rsid w:val="00300248"/>
    <w:rsid w:val="00322247"/>
    <w:rsid w:val="0032317E"/>
    <w:rsid w:val="00324206"/>
    <w:rsid w:val="00385C93"/>
    <w:rsid w:val="003B75BA"/>
    <w:rsid w:val="003C6EEC"/>
    <w:rsid w:val="003F0856"/>
    <w:rsid w:val="00410458"/>
    <w:rsid w:val="00417C57"/>
    <w:rsid w:val="004244E4"/>
    <w:rsid w:val="00435D37"/>
    <w:rsid w:val="00451CFF"/>
    <w:rsid w:val="00465D99"/>
    <w:rsid w:val="00466E65"/>
    <w:rsid w:val="0047370F"/>
    <w:rsid w:val="00474118"/>
    <w:rsid w:val="00496600"/>
    <w:rsid w:val="004B38DA"/>
    <w:rsid w:val="004D3B2E"/>
    <w:rsid w:val="004D6209"/>
    <w:rsid w:val="00505715"/>
    <w:rsid w:val="00524CD1"/>
    <w:rsid w:val="005462B2"/>
    <w:rsid w:val="00562559"/>
    <w:rsid w:val="005655A4"/>
    <w:rsid w:val="005C18DC"/>
    <w:rsid w:val="005E07A0"/>
    <w:rsid w:val="005F10FD"/>
    <w:rsid w:val="005F3CE4"/>
    <w:rsid w:val="006212BF"/>
    <w:rsid w:val="00626749"/>
    <w:rsid w:val="00661ACC"/>
    <w:rsid w:val="006649B1"/>
    <w:rsid w:val="006665EC"/>
    <w:rsid w:val="00672A94"/>
    <w:rsid w:val="006776E1"/>
    <w:rsid w:val="00694CAB"/>
    <w:rsid w:val="006B7A90"/>
    <w:rsid w:val="006C27D8"/>
    <w:rsid w:val="006E437E"/>
    <w:rsid w:val="006F645E"/>
    <w:rsid w:val="00700A9E"/>
    <w:rsid w:val="00710DB1"/>
    <w:rsid w:val="007310EC"/>
    <w:rsid w:val="00732468"/>
    <w:rsid w:val="0075395F"/>
    <w:rsid w:val="007544B2"/>
    <w:rsid w:val="00760683"/>
    <w:rsid w:val="007626EF"/>
    <w:rsid w:val="0076446E"/>
    <w:rsid w:val="00796A8F"/>
    <w:rsid w:val="007A3441"/>
    <w:rsid w:val="007A3881"/>
    <w:rsid w:val="007A77AD"/>
    <w:rsid w:val="007B2383"/>
    <w:rsid w:val="007E1BE9"/>
    <w:rsid w:val="007F0970"/>
    <w:rsid w:val="007F3973"/>
    <w:rsid w:val="00813E91"/>
    <w:rsid w:val="008165CE"/>
    <w:rsid w:val="00831DCF"/>
    <w:rsid w:val="00837363"/>
    <w:rsid w:val="00897248"/>
    <w:rsid w:val="008B2F93"/>
    <w:rsid w:val="008C28A4"/>
    <w:rsid w:val="008F4B35"/>
    <w:rsid w:val="00905A15"/>
    <w:rsid w:val="00937BA1"/>
    <w:rsid w:val="0096732A"/>
    <w:rsid w:val="009938F9"/>
    <w:rsid w:val="009A2FFE"/>
    <w:rsid w:val="009A73CF"/>
    <w:rsid w:val="009B1832"/>
    <w:rsid w:val="009B6BEF"/>
    <w:rsid w:val="009D29DC"/>
    <w:rsid w:val="00A0224F"/>
    <w:rsid w:val="00A25229"/>
    <w:rsid w:val="00A31452"/>
    <w:rsid w:val="00A4685E"/>
    <w:rsid w:val="00A6415E"/>
    <w:rsid w:val="00A64AF8"/>
    <w:rsid w:val="00A711E4"/>
    <w:rsid w:val="00A86577"/>
    <w:rsid w:val="00A971FA"/>
    <w:rsid w:val="00AB55A1"/>
    <w:rsid w:val="00AB6CEE"/>
    <w:rsid w:val="00AB7D21"/>
    <w:rsid w:val="00AD41DA"/>
    <w:rsid w:val="00AD7D2C"/>
    <w:rsid w:val="00AE467D"/>
    <w:rsid w:val="00AF2FA2"/>
    <w:rsid w:val="00AF7BAE"/>
    <w:rsid w:val="00B04DC6"/>
    <w:rsid w:val="00B30BC2"/>
    <w:rsid w:val="00B43497"/>
    <w:rsid w:val="00B44FDC"/>
    <w:rsid w:val="00B76A5D"/>
    <w:rsid w:val="00B91539"/>
    <w:rsid w:val="00BE7DD9"/>
    <w:rsid w:val="00BF34AF"/>
    <w:rsid w:val="00C00A49"/>
    <w:rsid w:val="00C31AE4"/>
    <w:rsid w:val="00C6239E"/>
    <w:rsid w:val="00C636D8"/>
    <w:rsid w:val="00C73C5C"/>
    <w:rsid w:val="00C75603"/>
    <w:rsid w:val="00CC62C4"/>
    <w:rsid w:val="00CE638E"/>
    <w:rsid w:val="00D05DFD"/>
    <w:rsid w:val="00D401CA"/>
    <w:rsid w:val="00D40932"/>
    <w:rsid w:val="00D5250B"/>
    <w:rsid w:val="00D56C89"/>
    <w:rsid w:val="00D74A29"/>
    <w:rsid w:val="00D921DC"/>
    <w:rsid w:val="00DB753B"/>
    <w:rsid w:val="00DB79FB"/>
    <w:rsid w:val="00DF12E5"/>
    <w:rsid w:val="00E13262"/>
    <w:rsid w:val="00E14905"/>
    <w:rsid w:val="00E150FD"/>
    <w:rsid w:val="00E71C16"/>
    <w:rsid w:val="00E73F81"/>
    <w:rsid w:val="00E84A33"/>
    <w:rsid w:val="00E92354"/>
    <w:rsid w:val="00EA2203"/>
    <w:rsid w:val="00EC6107"/>
    <w:rsid w:val="00EC6F80"/>
    <w:rsid w:val="00EE3ABE"/>
    <w:rsid w:val="00EF364C"/>
    <w:rsid w:val="00F1166A"/>
    <w:rsid w:val="00F12040"/>
    <w:rsid w:val="00F138A8"/>
    <w:rsid w:val="00F31F47"/>
    <w:rsid w:val="00F41B06"/>
    <w:rsid w:val="00F50F99"/>
    <w:rsid w:val="00F51DF6"/>
    <w:rsid w:val="00F55B81"/>
    <w:rsid w:val="00F62C78"/>
    <w:rsid w:val="00F67181"/>
    <w:rsid w:val="00F70C06"/>
    <w:rsid w:val="00F747CC"/>
    <w:rsid w:val="00F9011A"/>
    <w:rsid w:val="00F9188F"/>
    <w:rsid w:val="00F92E6D"/>
    <w:rsid w:val="00FB0077"/>
    <w:rsid w:val="00FC4765"/>
    <w:rsid w:val="00FD1423"/>
    <w:rsid w:val="00FF3E61"/>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0F3009-F200-4238-8EE7-ABF1F763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AFB"/>
    <w:pPr>
      <w:spacing w:after="160" w:line="259" w:lineRule="auto"/>
    </w:pPr>
    <w:rPr>
      <w:rFonts w:ascii="Calibri" w:eastAsia="Calibri" w:hAnsi="Calibri"/>
      <w:sz w:val="22"/>
      <w:szCs w:val="22"/>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tabs>
        <w:tab w:val="left" w:pos="4464"/>
      </w:tabs>
      <w:outlineLvl w:val="1"/>
    </w:pPr>
    <w:rPr>
      <w:b/>
      <w:bCs/>
      <w:sz w:val="28"/>
      <w:lang w:val="de-DE"/>
    </w:rPr>
  </w:style>
  <w:style w:type="paragraph" w:styleId="Heading3">
    <w:name w:val="heading 3"/>
    <w:basedOn w:val="Normal"/>
    <w:next w:val="Normal"/>
    <w:qFormat/>
    <w:pPr>
      <w:keepNext/>
      <w:jc w:val="right"/>
      <w:outlineLvl w:val="2"/>
    </w:pPr>
    <w:rPr>
      <w:sz w:val="28"/>
      <w:lang w:val="de-DE"/>
    </w:rPr>
  </w:style>
  <w:style w:type="paragraph" w:styleId="Heading4">
    <w:name w:val="heading 4"/>
    <w:basedOn w:val="Normal"/>
    <w:next w:val="Normal"/>
    <w:qFormat/>
    <w:pPr>
      <w:keepNext/>
      <w:outlineLvl w:val="3"/>
    </w:pPr>
    <w:rPr>
      <w:sz w:val="28"/>
      <w:lang w:val="de-DE"/>
    </w:rPr>
  </w:style>
  <w:style w:type="paragraph" w:styleId="Heading5">
    <w:name w:val="heading 5"/>
    <w:basedOn w:val="Normal"/>
    <w:next w:val="Normal"/>
    <w:qFormat/>
    <w:pPr>
      <w:keepNext/>
      <w:jc w:val="center"/>
      <w:outlineLvl w:val="4"/>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firstLine="720"/>
      <w:jc w:val="both"/>
    </w:pPr>
    <w:rPr>
      <w:lang w:val="lv-LV"/>
    </w:rPr>
  </w:style>
  <w:style w:type="paragraph" w:styleId="Title">
    <w:name w:val="Title"/>
    <w:basedOn w:val="Normal"/>
    <w:qFormat/>
    <w:pPr>
      <w:jc w:val="center"/>
    </w:pPr>
    <w:rPr>
      <w:sz w:val="32"/>
    </w:rPr>
  </w:style>
  <w:style w:type="paragraph" w:styleId="BodyText">
    <w:name w:val="Body Text"/>
    <w:basedOn w:val="Normal"/>
    <w:rPr>
      <w:sz w:val="28"/>
      <w:szCs w:val="20"/>
      <w:lang w:val="lv-LV"/>
    </w:rPr>
  </w:style>
  <w:style w:type="paragraph" w:styleId="BodyText2">
    <w:name w:val="Body Text 2"/>
    <w:basedOn w:val="Normal"/>
    <w:rsid w:val="006E437E"/>
    <w:pPr>
      <w:spacing w:after="120" w:line="480" w:lineRule="auto"/>
    </w:pPr>
  </w:style>
  <w:style w:type="paragraph" w:styleId="BodyTextIndent2">
    <w:name w:val="Body Text Indent 2"/>
    <w:basedOn w:val="Normal"/>
    <w:rsid w:val="00385C93"/>
    <w:pPr>
      <w:spacing w:after="120" w:line="480" w:lineRule="auto"/>
      <w:ind w:left="283"/>
    </w:pPr>
  </w:style>
  <w:style w:type="paragraph" w:styleId="BalloonText">
    <w:name w:val="Balloon Text"/>
    <w:basedOn w:val="Normal"/>
    <w:semiHidden/>
    <w:rsid w:val="006665EC"/>
    <w:rPr>
      <w:rFonts w:ascii="Tahoma" w:hAnsi="Tahoma" w:cs="Tahoma"/>
      <w:sz w:val="16"/>
      <w:szCs w:val="16"/>
    </w:rPr>
  </w:style>
  <w:style w:type="table" w:styleId="TableGrid">
    <w:name w:val="Table Grid"/>
    <w:basedOn w:val="TableNormal"/>
    <w:rsid w:val="0047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D1C31"/>
    <w:rPr>
      <w:rFonts w:ascii="Courier New" w:hAnsi="Courier New" w:cs="Courier New"/>
      <w:sz w:val="20"/>
      <w:szCs w:val="20"/>
    </w:rPr>
  </w:style>
  <w:style w:type="paragraph" w:styleId="ListParagraph">
    <w:name w:val="List Paragraph"/>
    <w:basedOn w:val="Normal"/>
    <w:uiPriority w:val="99"/>
    <w:qFormat/>
    <w:rsid w:val="009A73CF"/>
    <w:pPr>
      <w:ind w:left="720"/>
      <w:contextualSpacing/>
    </w:pPr>
    <w:rPr>
      <w:lang w:val="lv-LV"/>
    </w:rPr>
  </w:style>
  <w:style w:type="paragraph" w:styleId="NoSpacing">
    <w:name w:val="No Spacing"/>
    <w:uiPriority w:val="1"/>
    <w:qFormat/>
    <w:rsid w:val="00172AFB"/>
    <w:rPr>
      <w:rFonts w:ascii="Calibri" w:eastAsia="Calibri" w:hAnsi="Calibri"/>
      <w:sz w:val="22"/>
      <w:szCs w:val="22"/>
    </w:rPr>
  </w:style>
  <w:style w:type="character" w:styleId="Hyperlink">
    <w:name w:val="Hyperlink"/>
    <w:uiPriority w:val="99"/>
    <w:unhideWhenUsed/>
    <w:rsid w:val="00A6415E"/>
    <w:rPr>
      <w:color w:val="0563C1"/>
      <w:u w:val="single"/>
    </w:rPr>
  </w:style>
  <w:style w:type="character" w:styleId="FollowedHyperlink">
    <w:name w:val="FollowedHyperlink"/>
    <w:basedOn w:val="DefaultParagraphFont"/>
    <w:rsid w:val="00A64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098">
      <w:bodyDiv w:val="1"/>
      <w:marLeft w:val="0"/>
      <w:marRight w:val="0"/>
      <w:marTop w:val="0"/>
      <w:marBottom w:val="0"/>
      <w:divBdr>
        <w:top w:val="none" w:sz="0" w:space="0" w:color="auto"/>
        <w:left w:val="none" w:sz="0" w:space="0" w:color="auto"/>
        <w:bottom w:val="none" w:sz="0" w:space="0" w:color="auto"/>
        <w:right w:val="none" w:sz="0" w:space="0" w:color="auto"/>
      </w:divBdr>
    </w:div>
    <w:div w:id="181434202">
      <w:bodyDiv w:val="1"/>
      <w:marLeft w:val="0"/>
      <w:marRight w:val="0"/>
      <w:marTop w:val="0"/>
      <w:marBottom w:val="0"/>
      <w:divBdr>
        <w:top w:val="none" w:sz="0" w:space="0" w:color="auto"/>
        <w:left w:val="none" w:sz="0" w:space="0" w:color="auto"/>
        <w:bottom w:val="none" w:sz="0" w:space="0" w:color="auto"/>
        <w:right w:val="none" w:sz="0" w:space="0" w:color="auto"/>
      </w:divBdr>
      <w:divsChild>
        <w:div w:id="1353608276">
          <w:marLeft w:val="0"/>
          <w:marRight w:val="0"/>
          <w:marTop w:val="0"/>
          <w:marBottom w:val="0"/>
          <w:divBdr>
            <w:top w:val="none" w:sz="0" w:space="0" w:color="auto"/>
            <w:left w:val="none" w:sz="0" w:space="0" w:color="auto"/>
            <w:bottom w:val="none" w:sz="0" w:space="0" w:color="auto"/>
            <w:right w:val="none" w:sz="0" w:space="0" w:color="auto"/>
          </w:divBdr>
        </w:div>
      </w:divsChild>
    </w:div>
    <w:div w:id="488062963">
      <w:bodyDiv w:val="1"/>
      <w:marLeft w:val="0"/>
      <w:marRight w:val="0"/>
      <w:marTop w:val="0"/>
      <w:marBottom w:val="0"/>
      <w:divBdr>
        <w:top w:val="none" w:sz="0" w:space="0" w:color="auto"/>
        <w:left w:val="none" w:sz="0" w:space="0" w:color="auto"/>
        <w:bottom w:val="none" w:sz="0" w:space="0" w:color="auto"/>
        <w:right w:val="none" w:sz="0" w:space="0" w:color="auto"/>
      </w:divBdr>
    </w:div>
    <w:div w:id="735788290">
      <w:bodyDiv w:val="1"/>
      <w:marLeft w:val="0"/>
      <w:marRight w:val="0"/>
      <w:marTop w:val="0"/>
      <w:marBottom w:val="0"/>
      <w:divBdr>
        <w:top w:val="none" w:sz="0" w:space="0" w:color="auto"/>
        <w:left w:val="none" w:sz="0" w:space="0" w:color="auto"/>
        <w:bottom w:val="none" w:sz="0" w:space="0" w:color="auto"/>
        <w:right w:val="none" w:sz="0" w:space="0" w:color="auto"/>
      </w:divBdr>
    </w:div>
    <w:div w:id="9657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uriserv:OJ.L_.2019.280.01.0001.01.LAV&amp;toc=OJ:L:2019:280:TOC" TargetMode="External"/><Relationship Id="rId13" Type="http://schemas.openxmlformats.org/officeDocument/2006/relationships/hyperlink" Target="https://www.ptac.gov.l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m.gov.lv/partikas-un-veterinarais-dienests/statiskas-lapas/fitosanitara-kontrole?id=7560" TargetMode="External"/><Relationship Id="rId4" Type="http://schemas.openxmlformats.org/officeDocument/2006/relationships/settings" Target="settings.xml"/><Relationship Id="rId9" Type="http://schemas.openxmlformats.org/officeDocument/2006/relationships/hyperlink" Target="https://itvs.vid.gov.lv/itms/" TargetMode="External"/><Relationship Id="rId14" Type="http://schemas.openxmlformats.org/officeDocument/2006/relationships/hyperlink" Target="https://www.mod.gov.lv/lv/uznemejie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Vispareja%20informacija\VEIDL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5E93-5358-48CF-896F-1B26A06D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VEIDLAPA</Template>
  <TotalTime>560</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K &amp; N</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Loss, Aigars / Kuehne + Nagel / Rix QM</dc:creator>
  <cp:keywords/>
  <cp:lastModifiedBy>Loss, Aigars / Kuehne + Nagel / Rix QM</cp:lastModifiedBy>
  <cp:revision>9</cp:revision>
  <cp:lastPrinted>2016-09-08T11:43:00Z</cp:lastPrinted>
  <dcterms:created xsi:type="dcterms:W3CDTF">2021-02-23T07:51:00Z</dcterms:created>
  <dcterms:modified xsi:type="dcterms:W3CDTF">2021-02-25T09:18:00Z</dcterms:modified>
</cp:coreProperties>
</file>